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2FE10" w14:textId="77777777" w:rsidR="00AB64BC" w:rsidRPr="0083317F" w:rsidRDefault="00AB64BC" w:rsidP="00AB64BC">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83317F">
        <w:rPr>
          <w:rFonts w:ascii="Times New Roman" w:eastAsia="Times New Roman" w:hAnsi="Times New Roman" w:cs="Times New Roman"/>
          <w:b/>
        </w:rPr>
        <w:t>Приложение к ООП ООО</w:t>
      </w:r>
    </w:p>
    <w:p w14:paraId="10C9AF9D" w14:textId="77777777" w:rsidR="00AB64BC" w:rsidRDefault="00AB64BC" w:rsidP="00AB64BC">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Pr="0083317F">
        <w:rPr>
          <w:rFonts w:ascii="Times New Roman" w:eastAsia="Times New Roman" w:hAnsi="Times New Roman" w:cs="Times New Roman"/>
          <w:b/>
        </w:rPr>
        <w:t>МБОУ «</w:t>
      </w:r>
      <w:r>
        <w:rPr>
          <w:rFonts w:ascii="Times New Roman" w:eastAsia="Times New Roman" w:hAnsi="Times New Roman" w:cs="Times New Roman"/>
          <w:b/>
        </w:rPr>
        <w:t>СОШ с. Гухой</w:t>
      </w:r>
      <w:r w:rsidRPr="0083317F">
        <w:rPr>
          <w:rFonts w:ascii="Times New Roman" w:eastAsia="Times New Roman" w:hAnsi="Times New Roman" w:cs="Times New Roman"/>
          <w:b/>
        </w:rPr>
        <w:t xml:space="preserve">» </w:t>
      </w:r>
    </w:p>
    <w:p w14:paraId="777039B6" w14:textId="77777777" w:rsidR="006B16F9" w:rsidRDefault="006B16F9"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bookmarkStart w:id="0" w:name="_GoBack"/>
      <w:bookmarkEnd w:id="0"/>
    </w:p>
    <w:p w14:paraId="2A0551F0" w14:textId="2862F57B"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Термологический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аргументировать основные правила поведения человека в природе и </w:t>
            </w:r>
            <w:r w:rsidRPr="0068665B">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1" w:name="_TOC_250004"/>
            <w:bookmarkEnd w:id="1"/>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Навашин)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различать и описывать живые и гербарные экземпляры растений по </w:t>
            </w:r>
            <w:r w:rsidRPr="0068665B">
              <w:rPr>
                <w:rFonts w:ascii="Times New Roman" w:hAnsi="Times New Roman" w:cs="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Практическая </w:t>
            </w:r>
            <w:r>
              <w:rPr>
                <w:rFonts w:ascii="Times New Roman" w:eastAsia="Times New Roman" w:hAnsi="Times New Roman" w:cs="Times New Roman"/>
                <w:color w:val="FF0000"/>
                <w:lang w:val="ru-RU"/>
              </w:rPr>
              <w:lastRenderedPageBreak/>
              <w:t>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2" w:name="_TOC_250003"/>
            <w:bookmarkEnd w:id="2"/>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925DE6">
              <w:rPr>
                <w:rFonts w:ascii="Times New Roman" w:hAnsi="Times New Roman" w:cs="Times New Roman"/>
                <w:sz w:val="24"/>
                <w:szCs w:val="24"/>
                <w:lang w:val="ru-RU"/>
              </w:rPr>
              <w:lastRenderedPageBreak/>
              <w:t>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w:t>
            </w:r>
            <w:r w:rsidRPr="001F62AC">
              <w:rPr>
                <w:rFonts w:ascii="Times New Roman" w:hAnsi="Times New Roman" w:cs="Times New Roman"/>
                <w:sz w:val="24"/>
                <w:szCs w:val="24"/>
                <w:lang w:val="ru-RU"/>
              </w:rPr>
              <w:lastRenderedPageBreak/>
              <w:t>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владеть приёмами оказания первой помощи человеку при потере сознания, солнечном и тепловом ударе, отравлении, утоплении, кровотечении, травмах </w:t>
            </w:r>
            <w:r w:rsidRPr="00B625E2">
              <w:rPr>
                <w:rFonts w:ascii="Times New Roman" w:hAnsi="Times New Roman" w:cs="Times New Roman"/>
                <w:sz w:val="24"/>
                <w:szCs w:val="24"/>
                <w:lang w:val="ru-RU"/>
              </w:rPr>
              <w:lastRenderedPageBreak/>
              <w:t>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r>
              <w:rPr>
                <w:rFonts w:ascii="Times New Roman" w:eastAsia="Times New Roman" w:hAnsi="Times New Roman" w:cs="Times New Roman"/>
                <w:color w:val="FF0000"/>
                <w:sz w:val="24"/>
                <w:szCs w:val="24"/>
                <w:lang w:val="ru-RU"/>
              </w:rPr>
              <w:lastRenderedPageBreak/>
              <w:t>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3"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3"/>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r w:rsidRPr="007D6AFE">
        <w:rPr>
          <w:rFonts w:ascii="Times New Roman" w:hAnsi="Times New Roman" w:cs="Times New Roman"/>
          <w:sz w:val="24"/>
          <w:szCs w:val="24"/>
        </w:rPr>
        <w:lastRenderedPageBreak/>
        <w:t xml:space="preserve">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w:t>
      </w:r>
      <w:r w:rsidRPr="007D6AFE">
        <w:rPr>
          <w:rFonts w:ascii="Times New Roman" w:hAnsi="Times New Roman" w:cs="Times New Roman"/>
          <w:sz w:val="24"/>
          <w:szCs w:val="24"/>
        </w:rPr>
        <w:lastRenderedPageBreak/>
        <w:t xml:space="preserve">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4"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Практическая работа</w:t>
            </w:r>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4"/>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B71D1" w14:textId="77777777" w:rsidR="00E817CE" w:rsidRDefault="00E817CE" w:rsidP="00A60CE5">
      <w:pPr>
        <w:spacing w:after="0" w:line="240" w:lineRule="auto"/>
      </w:pPr>
      <w:r>
        <w:separator/>
      </w:r>
    </w:p>
  </w:endnote>
  <w:endnote w:type="continuationSeparator" w:id="0">
    <w:p w14:paraId="0DE212D2" w14:textId="77777777" w:rsidR="00E817CE" w:rsidRDefault="00E817CE"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51D34" w14:textId="77777777" w:rsidR="00E817CE" w:rsidRDefault="00E817CE" w:rsidP="00A60CE5">
      <w:pPr>
        <w:spacing w:after="0" w:line="240" w:lineRule="auto"/>
      </w:pPr>
      <w:r>
        <w:separator/>
      </w:r>
    </w:p>
  </w:footnote>
  <w:footnote w:type="continuationSeparator" w:id="0">
    <w:p w14:paraId="341A7618" w14:textId="77777777" w:rsidR="00E817CE" w:rsidRDefault="00E817CE"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21B4"/>
    <w:rsid w:val="004E2B62"/>
    <w:rsid w:val="005075B2"/>
    <w:rsid w:val="00563BA5"/>
    <w:rsid w:val="00581365"/>
    <w:rsid w:val="005D0ECD"/>
    <w:rsid w:val="005D2C74"/>
    <w:rsid w:val="005F3E3B"/>
    <w:rsid w:val="006528EC"/>
    <w:rsid w:val="006557E7"/>
    <w:rsid w:val="006723A9"/>
    <w:rsid w:val="0068665B"/>
    <w:rsid w:val="006B16F9"/>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711BA"/>
    <w:rsid w:val="00986D3F"/>
    <w:rsid w:val="009C1B62"/>
    <w:rsid w:val="00A159CD"/>
    <w:rsid w:val="00A267EF"/>
    <w:rsid w:val="00A60CE5"/>
    <w:rsid w:val="00A958F0"/>
    <w:rsid w:val="00A96FCB"/>
    <w:rsid w:val="00AA00DD"/>
    <w:rsid w:val="00AB64BC"/>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17CE"/>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B534E-B378-4F88-9FE4-595700FB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12</Pages>
  <Words>4729</Words>
  <Characters>26961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62</cp:revision>
  <dcterms:created xsi:type="dcterms:W3CDTF">2024-07-06T09:58:00Z</dcterms:created>
  <dcterms:modified xsi:type="dcterms:W3CDTF">2025-11-17T14:02:00Z</dcterms:modified>
</cp:coreProperties>
</file>